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9B94" w14:textId="77777777" w:rsidR="005B530F" w:rsidRDefault="005B530F">
      <w:pPr>
        <w:ind w:left="1134"/>
        <w:rPr>
          <w:b/>
        </w:rPr>
      </w:pPr>
    </w:p>
    <w:p w14:paraId="19E44CF1" w14:textId="77777777" w:rsidR="005B530F" w:rsidRDefault="005B530F">
      <w:pPr>
        <w:ind w:left="1134"/>
        <w:rPr>
          <w:b/>
        </w:rPr>
      </w:pPr>
    </w:p>
    <w:p w14:paraId="66687AA9" w14:textId="77777777" w:rsidR="005B530F" w:rsidRDefault="00A77362">
      <w:pPr>
        <w:ind w:left="1134"/>
        <w:rPr>
          <w:b/>
        </w:rPr>
      </w:pPr>
      <w:r>
        <w:rPr>
          <w:b/>
        </w:rPr>
        <w:t xml:space="preserve">ALCANCE </w:t>
      </w:r>
    </w:p>
    <w:p w14:paraId="51369FAD" w14:textId="77777777" w:rsidR="005B530F" w:rsidRDefault="00A77362">
      <w:pPr>
        <w:ind w:left="1134"/>
      </w:pPr>
      <w:r>
        <w:t>La extensión y límites del Sistema Integrado de Gestión se define mediante :</w:t>
      </w:r>
    </w:p>
    <w:p w14:paraId="37989A79" w14:textId="77777777" w:rsidR="005B530F" w:rsidRDefault="005B530F">
      <w:pPr>
        <w:ind w:left="1134"/>
      </w:pPr>
    </w:p>
    <w:p w14:paraId="746AD9A3" w14:textId="50F19D0B" w:rsidR="005B530F" w:rsidRDefault="00A77362">
      <w:pPr>
        <w:ind w:left="1134"/>
        <w:rPr>
          <w:i/>
        </w:rPr>
      </w:pPr>
      <w:r>
        <w:rPr>
          <w:i/>
        </w:rPr>
        <w:t>“El Alcance del Sistema Integrado de Gestión del Instituto Tecnológico de Culiacán está determinado por el proceso educativo que comprende desde la selección del estudiante, hasta el seguimiento de egresados y la incorporación del Posgrado</w:t>
      </w:r>
      <w:r>
        <w:rPr>
          <w:i/>
          <w:color w:val="FF0000"/>
        </w:rPr>
        <w:t xml:space="preserve"> </w:t>
      </w:r>
      <w:r>
        <w:rPr>
          <w:i/>
        </w:rPr>
        <w:t>establecidos en sus áreas académicas y administrativas, lo cual permite a través de sus áreas de desempeño, la cobertura desde la identificación de aspectos ambientales en laboratorios y talleres, así como, actividades de mantenimiento y servicios generales cuidando dentro de estos procesos, la seguridad y salud en el trabajo y la mejora de su desempeño energético, su regulación y cumplimiento legal consideradas en las cuestiones internas y externas del contexto de la organización”.</w:t>
      </w:r>
    </w:p>
    <w:p w14:paraId="60229127" w14:textId="29275D10" w:rsidR="00C353F5" w:rsidRDefault="00C353F5">
      <w:pPr>
        <w:ind w:left="1134"/>
        <w:rPr>
          <w:i/>
        </w:rPr>
      </w:pPr>
    </w:p>
    <w:p w14:paraId="6629E4C2" w14:textId="7039DE49" w:rsidR="00C353F5" w:rsidRDefault="00C353F5">
      <w:pPr>
        <w:ind w:left="1134"/>
        <w:rPr>
          <w:i/>
        </w:rPr>
      </w:pPr>
    </w:p>
    <w:p w14:paraId="7711815D" w14:textId="5FBBDA4C" w:rsidR="00C353F5" w:rsidRPr="00332333" w:rsidRDefault="00C353F5">
      <w:pPr>
        <w:ind w:left="1134"/>
        <w:rPr>
          <w:iCs/>
        </w:rPr>
      </w:pPr>
      <w:r w:rsidRPr="00332333">
        <w:rPr>
          <w:iCs/>
        </w:rPr>
        <w:t>La aplicabilidad del alcance en sus unidades, funciones y límites físicos de la organización esta determinada de la siguiente manera:</w:t>
      </w:r>
    </w:p>
    <w:p w14:paraId="44B28B06" w14:textId="77777777" w:rsidR="00C353F5" w:rsidRPr="00332333" w:rsidRDefault="00C353F5">
      <w:pPr>
        <w:rPr>
          <w:iCs/>
        </w:rPr>
      </w:pPr>
      <w:r w:rsidRPr="00332333">
        <w:rPr>
          <w:iCs/>
        </w:rPr>
        <w:br w:type="page"/>
      </w:r>
    </w:p>
    <w:p w14:paraId="77FD3892" w14:textId="77777777" w:rsidR="00C353F5" w:rsidRDefault="00C353F5">
      <w:pPr>
        <w:ind w:left="1134"/>
        <w:rPr>
          <w:i/>
        </w:rPr>
        <w:sectPr w:rsidR="00C353F5" w:rsidSect="00C353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701" w:bottom="1418" w:left="1701" w:header="709" w:footer="709" w:gutter="0"/>
          <w:pgNumType w:start="1"/>
          <w:cols w:space="720"/>
        </w:sectPr>
      </w:pPr>
    </w:p>
    <w:p w14:paraId="29DB5E42" w14:textId="77777777" w:rsidR="00C353F5" w:rsidRDefault="00C353F5">
      <w:pPr>
        <w:ind w:left="1134"/>
        <w:rPr>
          <w:i/>
        </w:rPr>
      </w:pPr>
    </w:p>
    <w:tbl>
      <w:tblPr>
        <w:tblStyle w:val="TableNormal1"/>
        <w:tblW w:w="14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417"/>
        <w:gridCol w:w="1418"/>
        <w:gridCol w:w="1417"/>
        <w:gridCol w:w="1418"/>
        <w:gridCol w:w="2835"/>
      </w:tblGrid>
      <w:tr w:rsidR="00C353F5" w:rsidRPr="00C353F5" w14:paraId="60881617" w14:textId="77777777" w:rsidTr="00F262F3">
        <w:trPr>
          <w:trHeight w:val="219"/>
        </w:trPr>
        <w:tc>
          <w:tcPr>
            <w:tcW w:w="5671" w:type="dxa"/>
            <w:gridSpan w:val="2"/>
            <w:vMerge w:val="restart"/>
            <w:shd w:val="clear" w:color="auto" w:fill="17365D"/>
          </w:tcPr>
          <w:p w14:paraId="1E382CC6" w14:textId="77777777" w:rsidR="00C353F5" w:rsidRPr="00C353F5" w:rsidRDefault="00C353F5" w:rsidP="00C353F5">
            <w:pPr>
              <w:spacing w:before="1"/>
              <w:ind w:left="2140" w:right="2130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|</w:t>
            </w:r>
          </w:p>
        </w:tc>
        <w:tc>
          <w:tcPr>
            <w:tcW w:w="1417" w:type="dxa"/>
            <w:shd w:val="clear" w:color="auto" w:fill="17365D"/>
          </w:tcPr>
          <w:p w14:paraId="6C1A61EC" w14:textId="77777777" w:rsidR="00C353F5" w:rsidRPr="00C353F5" w:rsidRDefault="00C353F5" w:rsidP="00C353F5">
            <w:pPr>
              <w:jc w:val="center"/>
              <w:rPr>
                <w:rFonts w:ascii="Times New Roman" w:eastAsia="Arial" w:cs="Arial"/>
                <w:noProof w:val="0"/>
                <w:sz w:val="14"/>
                <w:lang w:eastAsia="en-US"/>
              </w:rPr>
            </w:pPr>
          </w:p>
        </w:tc>
        <w:tc>
          <w:tcPr>
            <w:tcW w:w="7088" w:type="dxa"/>
            <w:gridSpan w:val="4"/>
            <w:shd w:val="clear" w:color="auto" w:fill="17365D"/>
          </w:tcPr>
          <w:p w14:paraId="4B2B8B34" w14:textId="77777777" w:rsidR="00C353F5" w:rsidRPr="00C353F5" w:rsidRDefault="00C353F5" w:rsidP="00C353F5">
            <w:pPr>
              <w:spacing w:before="7" w:line="192" w:lineRule="exact"/>
              <w:ind w:left="2454" w:right="244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APLICABILIDAD</w:t>
            </w:r>
          </w:p>
        </w:tc>
      </w:tr>
      <w:tr w:rsidR="00C353F5" w:rsidRPr="00C353F5" w14:paraId="3681424C" w14:textId="77777777" w:rsidTr="00F262F3">
        <w:trPr>
          <w:trHeight w:val="446"/>
        </w:trPr>
        <w:tc>
          <w:tcPr>
            <w:tcW w:w="5671" w:type="dxa"/>
            <w:gridSpan w:val="2"/>
            <w:vMerge/>
            <w:shd w:val="clear" w:color="auto" w:fill="17365D"/>
          </w:tcPr>
          <w:p w14:paraId="5FC4662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1417" w:type="dxa"/>
            <w:shd w:val="clear" w:color="auto" w:fill="17365D"/>
          </w:tcPr>
          <w:p w14:paraId="0C8F619A" w14:textId="77777777" w:rsidR="00C353F5" w:rsidRPr="00C353F5" w:rsidRDefault="00C353F5" w:rsidP="00C353F5">
            <w:pPr>
              <w:spacing w:line="209" w:lineRule="exact"/>
              <w:ind w:left="204" w:right="197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73A00159" w14:textId="77777777" w:rsidR="00C353F5" w:rsidRPr="00C353F5" w:rsidRDefault="00C353F5" w:rsidP="00C353F5">
            <w:pPr>
              <w:spacing w:before="4" w:line="213" w:lineRule="exact"/>
              <w:ind w:left="204" w:right="198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21001:2018</w:t>
            </w:r>
          </w:p>
        </w:tc>
        <w:tc>
          <w:tcPr>
            <w:tcW w:w="1418" w:type="dxa"/>
            <w:shd w:val="clear" w:color="auto" w:fill="17365D"/>
          </w:tcPr>
          <w:p w14:paraId="5C609A35" w14:textId="77777777" w:rsidR="00C353F5" w:rsidRPr="00C353F5" w:rsidRDefault="00C353F5" w:rsidP="00C353F5">
            <w:pPr>
              <w:spacing w:line="209" w:lineRule="exact"/>
              <w:ind w:left="219" w:right="206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0108CC3C" w14:textId="77777777" w:rsidR="00C353F5" w:rsidRPr="00C353F5" w:rsidRDefault="00C353F5" w:rsidP="00C353F5">
            <w:pPr>
              <w:spacing w:before="4" w:line="213" w:lineRule="exact"/>
              <w:ind w:left="219" w:right="207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14001:2015</w:t>
            </w:r>
          </w:p>
        </w:tc>
        <w:tc>
          <w:tcPr>
            <w:tcW w:w="1417" w:type="dxa"/>
            <w:shd w:val="clear" w:color="auto" w:fill="17365D"/>
          </w:tcPr>
          <w:p w14:paraId="498FB944" w14:textId="77777777" w:rsidR="00C353F5" w:rsidRPr="00C353F5" w:rsidRDefault="00C353F5" w:rsidP="00C353F5">
            <w:pPr>
              <w:spacing w:line="209" w:lineRule="exact"/>
              <w:ind w:left="219" w:right="206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29C34AA2" w14:textId="77777777" w:rsidR="00C353F5" w:rsidRPr="00C353F5" w:rsidRDefault="00C353F5" w:rsidP="00C353F5">
            <w:pPr>
              <w:spacing w:before="4" w:line="213" w:lineRule="exact"/>
              <w:ind w:left="219" w:right="207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45001:2018</w:t>
            </w:r>
          </w:p>
        </w:tc>
        <w:tc>
          <w:tcPr>
            <w:tcW w:w="1418" w:type="dxa"/>
            <w:shd w:val="clear" w:color="auto" w:fill="17365D"/>
          </w:tcPr>
          <w:p w14:paraId="4413017E" w14:textId="77777777" w:rsidR="00C353F5" w:rsidRPr="00C353F5" w:rsidRDefault="00C353F5" w:rsidP="00C353F5">
            <w:pPr>
              <w:spacing w:line="209" w:lineRule="exact"/>
              <w:ind w:left="244" w:right="240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282D140B" w14:textId="77777777" w:rsidR="00C353F5" w:rsidRPr="00C353F5" w:rsidRDefault="00C353F5" w:rsidP="00C353F5">
            <w:pPr>
              <w:spacing w:before="4" w:line="213" w:lineRule="exact"/>
              <w:ind w:left="244" w:right="240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50001:2018</w:t>
            </w:r>
          </w:p>
        </w:tc>
        <w:tc>
          <w:tcPr>
            <w:tcW w:w="2835" w:type="dxa"/>
            <w:shd w:val="clear" w:color="auto" w:fill="17365D"/>
          </w:tcPr>
          <w:p w14:paraId="6466B898" w14:textId="77777777" w:rsidR="00C353F5" w:rsidRPr="00C353F5" w:rsidRDefault="00C353F5" w:rsidP="00C353F5">
            <w:pPr>
              <w:spacing w:line="209" w:lineRule="exact"/>
              <w:ind w:left="404" w:right="403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UNIDAD</w:t>
            </w:r>
          </w:p>
          <w:p w14:paraId="53C48DD0" w14:textId="77777777" w:rsidR="00C353F5" w:rsidRPr="00C353F5" w:rsidRDefault="00C353F5" w:rsidP="00C353F5">
            <w:pPr>
              <w:spacing w:before="4" w:line="213" w:lineRule="exact"/>
              <w:ind w:left="405" w:right="403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RESPONSIBLE</w:t>
            </w:r>
          </w:p>
        </w:tc>
      </w:tr>
      <w:tr w:rsidR="00C353F5" w:rsidRPr="00C353F5" w14:paraId="20EF5A71" w14:textId="77777777" w:rsidTr="00D16015">
        <w:trPr>
          <w:trHeight w:val="464"/>
        </w:trPr>
        <w:tc>
          <w:tcPr>
            <w:tcW w:w="1843" w:type="dxa"/>
            <w:vMerge w:val="restart"/>
            <w:shd w:val="clear" w:color="auto" w:fill="17365D"/>
          </w:tcPr>
          <w:p w14:paraId="17D9405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0487191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4DD9362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20FF70F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029DF580" w14:textId="77777777" w:rsidR="00C353F5" w:rsidRPr="00C353F5" w:rsidRDefault="00C353F5" w:rsidP="00C353F5">
            <w:pPr>
              <w:spacing w:before="160"/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PLANIFICACIÓN</w:t>
            </w:r>
          </w:p>
        </w:tc>
        <w:tc>
          <w:tcPr>
            <w:tcW w:w="3828" w:type="dxa"/>
          </w:tcPr>
          <w:p w14:paraId="00DFD857" w14:textId="77777777" w:rsidR="00C353F5" w:rsidRPr="00C353F5" w:rsidRDefault="00C353F5" w:rsidP="00C353F5">
            <w:pPr>
              <w:spacing w:before="17" w:line="230" w:lineRule="atLeast"/>
              <w:ind w:left="115" w:right="517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Identificación y evaluación de peligros y riesgos de seguridad y salud.</w:t>
            </w:r>
          </w:p>
        </w:tc>
        <w:tc>
          <w:tcPr>
            <w:tcW w:w="1417" w:type="dxa"/>
            <w:shd w:val="clear" w:color="auto" w:fill="auto"/>
          </w:tcPr>
          <w:p w14:paraId="267B34D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A7AF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F0BBC7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4A8C0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6EBD8F8" w14:textId="77777777" w:rsidR="00C353F5" w:rsidRPr="00C353F5" w:rsidRDefault="00C353F5" w:rsidP="00C353F5">
            <w:pPr>
              <w:spacing w:before="17" w:line="230" w:lineRule="atLeast"/>
              <w:ind w:left="320" w:right="195" w:hanging="105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de Seguridad y Salud en el Trabajo (CSST).</w:t>
            </w:r>
          </w:p>
        </w:tc>
      </w:tr>
      <w:tr w:rsidR="00C353F5" w:rsidRPr="00C353F5" w14:paraId="321B1E1B" w14:textId="77777777" w:rsidTr="00B3218B">
        <w:trPr>
          <w:trHeight w:val="448"/>
        </w:trPr>
        <w:tc>
          <w:tcPr>
            <w:tcW w:w="1843" w:type="dxa"/>
            <w:vMerge/>
            <w:shd w:val="clear" w:color="auto" w:fill="17365D"/>
          </w:tcPr>
          <w:p w14:paraId="196D6B4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15BA6967" w14:textId="77777777" w:rsidR="00C353F5" w:rsidRPr="00C353F5" w:rsidRDefault="00C353F5" w:rsidP="00C353F5">
            <w:pPr>
              <w:spacing w:before="92"/>
              <w:ind w:left="115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Identificar aspectos ambientales y su significancia.</w:t>
            </w:r>
          </w:p>
        </w:tc>
        <w:tc>
          <w:tcPr>
            <w:tcW w:w="1417" w:type="dxa"/>
          </w:tcPr>
          <w:p w14:paraId="2B6A54A2" w14:textId="77777777" w:rsidR="00C353F5" w:rsidRPr="00C353F5" w:rsidRDefault="00C353F5" w:rsidP="00C353F5">
            <w:pPr>
              <w:spacing w:before="92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93D97E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</w:tcPr>
          <w:p w14:paraId="3AF86217" w14:textId="77777777" w:rsidR="00C353F5" w:rsidRPr="00C353F5" w:rsidRDefault="00C353F5" w:rsidP="00C353F5">
            <w:pPr>
              <w:spacing w:before="9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</w:tcPr>
          <w:p w14:paraId="65D7CD8B" w14:textId="77777777" w:rsidR="00C353F5" w:rsidRPr="00C353F5" w:rsidRDefault="00C353F5" w:rsidP="00C353F5">
            <w:pPr>
              <w:spacing w:before="9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22F52863" w14:textId="77777777" w:rsidR="00C353F5" w:rsidRPr="00C353F5" w:rsidRDefault="00C353F5" w:rsidP="00C353F5">
            <w:pPr>
              <w:spacing w:before="92"/>
              <w:ind w:left="157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Coordinación Ambiental (CA)</w:t>
            </w:r>
          </w:p>
        </w:tc>
      </w:tr>
      <w:tr w:rsidR="00C353F5" w:rsidRPr="00C353F5" w14:paraId="3DF5A0D9" w14:textId="77777777" w:rsidTr="00B3218B">
        <w:trPr>
          <w:trHeight w:val="503"/>
        </w:trPr>
        <w:tc>
          <w:tcPr>
            <w:tcW w:w="1843" w:type="dxa"/>
            <w:vMerge/>
            <w:shd w:val="clear" w:color="auto" w:fill="17365D"/>
          </w:tcPr>
          <w:p w14:paraId="555EB7DE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DC0931F" w14:textId="77777777" w:rsidR="00C353F5" w:rsidRPr="00C353F5" w:rsidRDefault="00C353F5" w:rsidP="00C353F5">
            <w:pPr>
              <w:spacing w:before="16" w:line="244" w:lineRule="auto"/>
              <w:ind w:left="115" w:right="28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Identificación y evaluación de requisitos legales aplicables y otros requisitos.</w:t>
            </w:r>
          </w:p>
        </w:tc>
        <w:tc>
          <w:tcPr>
            <w:tcW w:w="1417" w:type="dxa"/>
          </w:tcPr>
          <w:p w14:paraId="4FD8CD13" w14:textId="77777777" w:rsidR="00C353F5" w:rsidRPr="00C353F5" w:rsidRDefault="00C353F5" w:rsidP="00C353F5">
            <w:pPr>
              <w:spacing w:after="160" w:line="259" w:lineRule="auto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  <w:p w14:paraId="4B403050" w14:textId="77777777" w:rsidR="00C353F5" w:rsidRPr="00C353F5" w:rsidRDefault="00C353F5" w:rsidP="00C353F5">
            <w:pPr>
              <w:spacing w:before="16" w:line="244" w:lineRule="auto"/>
              <w:ind w:right="1829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788A41C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6B0B666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2F63A2D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1C6A8824" w14:textId="77777777" w:rsidR="00C353F5" w:rsidRPr="00C353F5" w:rsidRDefault="00C353F5" w:rsidP="00C353F5">
            <w:pPr>
              <w:spacing w:before="16" w:line="244" w:lineRule="auto"/>
              <w:ind w:left="498" w:right="200" w:hanging="274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 xml:space="preserve">Coordinación de CSST, CA,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CEn</w:t>
            </w:r>
            <w:proofErr w:type="spellEnd"/>
          </w:p>
        </w:tc>
      </w:tr>
      <w:tr w:rsidR="00C353F5" w:rsidRPr="00C353F5" w14:paraId="301E4D07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13288185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13FD993F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Consumo y uso eficiente de energía</w:t>
            </w:r>
          </w:p>
        </w:tc>
        <w:tc>
          <w:tcPr>
            <w:tcW w:w="1417" w:type="dxa"/>
          </w:tcPr>
          <w:p w14:paraId="02ECB5C5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05FCAA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</w:tcPr>
          <w:p w14:paraId="56BAE525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AF58F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19962536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Coordinación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energética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(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CEn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), CA</w:t>
            </w:r>
          </w:p>
        </w:tc>
      </w:tr>
      <w:tr w:rsidR="00C353F5" w:rsidRPr="00C353F5" w14:paraId="0569FE1C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157DD92A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800EF03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Identificación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riesgos</w:t>
            </w:r>
            <w:proofErr w:type="spellEnd"/>
          </w:p>
        </w:tc>
        <w:tc>
          <w:tcPr>
            <w:tcW w:w="1417" w:type="dxa"/>
            <w:shd w:val="clear" w:color="auto" w:fill="111AD3"/>
          </w:tcPr>
          <w:p w14:paraId="76DDF5E4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C2F27AF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78124827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066E95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71395E3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 xml:space="preserve">Coordinación de CSST, CA,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Cen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, Coordinación de calidad</w:t>
            </w:r>
          </w:p>
        </w:tc>
      </w:tr>
      <w:tr w:rsidR="00C353F5" w:rsidRPr="00C353F5" w14:paraId="736DC7B6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4E46271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7455F8DD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Investigación de incidentes y accidentes.</w:t>
            </w:r>
          </w:p>
        </w:tc>
        <w:tc>
          <w:tcPr>
            <w:tcW w:w="1417" w:type="dxa"/>
          </w:tcPr>
          <w:p w14:paraId="213924E2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48A97A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069A69B7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D6546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75706208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de Seguridad y Salud en el Trabajo (CSST).</w:t>
            </w:r>
          </w:p>
        </w:tc>
      </w:tr>
      <w:tr w:rsidR="00C353F5" w:rsidRPr="00C353F5" w14:paraId="49E82EAB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593863B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17915BAE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Respuesta ante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emergencias</w:t>
            </w:r>
            <w:proofErr w:type="spellEnd"/>
          </w:p>
        </w:tc>
        <w:tc>
          <w:tcPr>
            <w:tcW w:w="1417" w:type="dxa"/>
          </w:tcPr>
          <w:p w14:paraId="3E76D84F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70552E15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0ED5BE3D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8EFDF2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550054C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Ambiental (CA) y CSST.</w:t>
            </w:r>
          </w:p>
        </w:tc>
      </w:tr>
      <w:tr w:rsidR="00C353F5" w:rsidRPr="00C353F5" w14:paraId="6338FA17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B532BD6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70C5A926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Planificación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y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revisión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energética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</w:tcPr>
          <w:p w14:paraId="69F7131C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46A50033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43057500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43665DF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49307658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Coordinación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Energética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(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CEn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)</w:t>
            </w:r>
          </w:p>
        </w:tc>
      </w:tr>
      <w:tr w:rsidR="00C353F5" w:rsidRPr="00C353F5" w14:paraId="08A4A8E3" w14:textId="77777777" w:rsidTr="00B3218B">
        <w:trPr>
          <w:trHeight w:val="508"/>
        </w:trPr>
        <w:tc>
          <w:tcPr>
            <w:tcW w:w="1843" w:type="dxa"/>
            <w:vMerge w:val="restart"/>
            <w:shd w:val="clear" w:color="auto" w:fill="17365D"/>
          </w:tcPr>
          <w:p w14:paraId="1BDF2251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5A344EB9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23BCEC1F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21BB1DBB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227058D1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4B0C0126" w14:textId="77777777" w:rsidR="00C353F5" w:rsidRPr="00C353F5" w:rsidRDefault="00C353F5" w:rsidP="00C353F5">
            <w:pPr>
              <w:ind w:left="296"/>
              <w:jc w:val="center"/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APOYO</w:t>
            </w:r>
          </w:p>
        </w:tc>
        <w:tc>
          <w:tcPr>
            <w:tcW w:w="3828" w:type="dxa"/>
          </w:tcPr>
          <w:p w14:paraId="2694E3A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19"/>
                <w:lang w:eastAsia="en-US"/>
              </w:rPr>
            </w:pPr>
          </w:p>
          <w:p w14:paraId="38ED3C47" w14:textId="77777777" w:rsidR="00C353F5" w:rsidRPr="00C353F5" w:rsidRDefault="00C353F5" w:rsidP="00C353F5">
            <w:pPr>
              <w:ind w:left="115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POA</w:t>
            </w:r>
          </w:p>
        </w:tc>
        <w:tc>
          <w:tcPr>
            <w:tcW w:w="1417" w:type="dxa"/>
            <w:shd w:val="clear" w:color="auto" w:fill="111AD3"/>
          </w:tcPr>
          <w:p w14:paraId="002E50C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0BDCB13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2C8842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02730D6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12D61135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Planeación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Programación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pacing w:val="-4"/>
                <w:sz w:val="20"/>
                <w:lang w:eastAsia="en-US"/>
              </w:rPr>
              <w:t xml:space="preserve"> </w:t>
            </w:r>
            <w:r w:rsidRPr="00C353F5">
              <w:rPr>
                <w:rFonts w:ascii="Arial Narrow" w:eastAsia="Arial" w:hAnsi="Arial Narrow" w:cs="Arial"/>
                <w:noProof w:val="0"/>
                <w:spacing w:val="-13"/>
                <w:sz w:val="20"/>
                <w:lang w:eastAsia="en-US"/>
              </w:rPr>
              <w:t>y</w:t>
            </w:r>
          </w:p>
          <w:p w14:paraId="395EE5DA" w14:textId="77777777" w:rsidR="00C353F5" w:rsidRPr="00C353F5" w:rsidRDefault="00C353F5" w:rsidP="00C353F5">
            <w:pPr>
              <w:spacing w:line="230" w:lineRule="atLeast"/>
              <w:ind w:left="302" w:right="196" w:hanging="83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Presupuestación</w:t>
            </w:r>
            <w:proofErr w:type="spellEnd"/>
          </w:p>
        </w:tc>
      </w:tr>
      <w:tr w:rsidR="00C353F5" w:rsidRPr="00C353F5" w14:paraId="5C19579E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FEFCF9A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DFC173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  <w:p w14:paraId="6B12A13E" w14:textId="77777777" w:rsidR="00C353F5" w:rsidRPr="00C353F5" w:rsidRDefault="00C353F5" w:rsidP="00C353F5">
            <w:pPr>
              <w:ind w:left="115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PTA</w:t>
            </w:r>
          </w:p>
        </w:tc>
        <w:tc>
          <w:tcPr>
            <w:tcW w:w="1417" w:type="dxa"/>
            <w:shd w:val="clear" w:color="auto" w:fill="111AD3"/>
          </w:tcPr>
          <w:p w14:paraId="44C0BD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139CDA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1193227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49CE0F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216EC84F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Planeación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Programación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pacing w:val="-4"/>
                <w:sz w:val="20"/>
                <w:lang w:eastAsia="en-US"/>
              </w:rPr>
              <w:t xml:space="preserve"> </w:t>
            </w:r>
            <w:r w:rsidRPr="00C353F5">
              <w:rPr>
                <w:rFonts w:ascii="Arial Narrow" w:eastAsia="Arial" w:hAnsi="Arial Narrow" w:cs="Arial"/>
                <w:noProof w:val="0"/>
                <w:spacing w:val="-13"/>
                <w:sz w:val="20"/>
                <w:lang w:eastAsia="en-US"/>
              </w:rPr>
              <w:t>y</w:t>
            </w:r>
          </w:p>
          <w:p w14:paraId="3207461B" w14:textId="77777777" w:rsidR="00C353F5" w:rsidRPr="00C353F5" w:rsidRDefault="00C353F5" w:rsidP="00C353F5">
            <w:pPr>
              <w:spacing w:line="230" w:lineRule="atLeast"/>
              <w:ind w:left="302" w:right="196" w:hanging="83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Presupuestación</w:t>
            </w:r>
            <w:proofErr w:type="spellEnd"/>
          </w:p>
        </w:tc>
      </w:tr>
      <w:tr w:rsidR="00C353F5" w:rsidRPr="00C353F5" w14:paraId="727E032E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343321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53E6B46A" w14:textId="77777777" w:rsidR="00C353F5" w:rsidRPr="00C353F5" w:rsidRDefault="00C353F5" w:rsidP="00C353F5">
            <w:pPr>
              <w:spacing w:before="139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Reclutamiento y selección del personal.</w:t>
            </w:r>
          </w:p>
        </w:tc>
        <w:tc>
          <w:tcPr>
            <w:tcW w:w="1417" w:type="dxa"/>
            <w:shd w:val="clear" w:color="auto" w:fill="111AD3"/>
          </w:tcPr>
          <w:p w14:paraId="54A4289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8B5F9C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83C27B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6CCDBA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2C1310F3" w14:textId="77777777" w:rsidR="00C353F5" w:rsidRPr="00C353F5" w:rsidRDefault="00C353F5" w:rsidP="00C353F5">
            <w:pPr>
              <w:spacing w:before="139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Humanos</w:t>
            </w:r>
          </w:p>
        </w:tc>
      </w:tr>
      <w:tr w:rsidR="00C353F5" w:rsidRPr="00C353F5" w14:paraId="6EB9DD21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74CF1CC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0DE50324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Auditoría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interna</w:t>
            </w:r>
          </w:p>
        </w:tc>
        <w:tc>
          <w:tcPr>
            <w:tcW w:w="1417" w:type="dxa"/>
            <w:shd w:val="clear" w:color="auto" w:fill="111AD3"/>
          </w:tcPr>
          <w:p w14:paraId="25B6425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C1CABC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52F78BE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DBFBC4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FA66D3F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Representante de Direcci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</w:p>
        </w:tc>
      </w:tr>
      <w:tr w:rsidR="00C353F5" w:rsidRPr="00C353F5" w14:paraId="37D68DB6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B65339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47A45B0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Encuesta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servicio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01D02C3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3CBAB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D46AB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0F6DC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40F2A5FC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 de Estudios, Servicios Escolares, Recursos Financieros, Vinculaci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n, Centro de Informaci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n, Centro de C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mputo.</w:t>
            </w:r>
          </w:p>
        </w:tc>
      </w:tr>
      <w:tr w:rsidR="00C353F5" w:rsidRPr="00C353F5" w14:paraId="3CE324BA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D075ECD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5ECCB696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Atención de quejas y sugerencias.</w:t>
            </w:r>
          </w:p>
        </w:tc>
        <w:tc>
          <w:tcPr>
            <w:tcW w:w="1417" w:type="dxa"/>
            <w:shd w:val="clear" w:color="auto" w:fill="111AD3"/>
          </w:tcPr>
          <w:p w14:paraId="6E8589B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00D03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E4020A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315E4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69FA2826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Representante de Direcci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n.</w:t>
            </w:r>
          </w:p>
        </w:tc>
      </w:tr>
      <w:tr w:rsidR="00C353F5" w:rsidRPr="00C353F5" w14:paraId="1BED4415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104D520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6171197E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highlight w:val="yellow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Adquisición de bienes o servicios y pago a proveedores.</w:t>
            </w:r>
          </w:p>
        </w:tc>
        <w:tc>
          <w:tcPr>
            <w:tcW w:w="1417" w:type="dxa"/>
            <w:shd w:val="clear" w:color="auto" w:fill="111AD3"/>
          </w:tcPr>
          <w:p w14:paraId="4AEBF42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9016B6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2682515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07676C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BB78EC8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Materiales</w:t>
            </w:r>
            <w:proofErr w:type="spellEnd"/>
          </w:p>
        </w:tc>
      </w:tr>
      <w:tr w:rsidR="00C353F5" w:rsidRPr="00C353F5" w14:paraId="0BB5A576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859A0A8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17554BB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Formación docente y actualización profesional.</w:t>
            </w:r>
          </w:p>
        </w:tc>
        <w:tc>
          <w:tcPr>
            <w:tcW w:w="1417" w:type="dxa"/>
            <w:shd w:val="clear" w:color="auto" w:fill="111AD3"/>
          </w:tcPr>
          <w:p w14:paraId="2D403B9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143BB9E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52585BF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22CBF1C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5077F92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Desarrollo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Académico</w:t>
            </w:r>
            <w:proofErr w:type="spellEnd"/>
          </w:p>
        </w:tc>
      </w:tr>
      <w:tr w:rsidR="00C353F5" w:rsidRPr="00C353F5" w14:paraId="779A3929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29953CB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5F3067DD" w14:textId="77777777" w:rsidR="00C353F5" w:rsidRPr="00C353F5" w:rsidRDefault="00C353F5" w:rsidP="00C353F5">
            <w:pPr>
              <w:spacing w:before="23" w:line="230" w:lineRule="atLeast"/>
              <w:ind w:left="115" w:right="377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Formaci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n, capacitaci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 y toma de conciencia.</w:t>
            </w:r>
          </w:p>
        </w:tc>
        <w:tc>
          <w:tcPr>
            <w:tcW w:w="1417" w:type="dxa"/>
            <w:shd w:val="clear" w:color="auto" w:fill="111AD3"/>
          </w:tcPr>
          <w:p w14:paraId="5F0D704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19A7D8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ECECDC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1EB84E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1FB82CC5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Humanos</w:t>
            </w:r>
          </w:p>
        </w:tc>
      </w:tr>
      <w:tr w:rsidR="00C353F5" w:rsidRPr="00C353F5" w14:paraId="080ACA5D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28FD18D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2671193" w14:textId="77777777" w:rsidR="00C353F5" w:rsidRPr="00C353F5" w:rsidRDefault="00C353F5" w:rsidP="00C353F5">
            <w:pPr>
              <w:spacing w:before="23" w:line="230" w:lineRule="atLeast"/>
              <w:ind w:left="115" w:right="377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Determinar y gestionar el ambiente de trabajo.</w:t>
            </w:r>
          </w:p>
        </w:tc>
        <w:tc>
          <w:tcPr>
            <w:tcW w:w="1417" w:type="dxa"/>
            <w:shd w:val="clear" w:color="auto" w:fill="111AD3"/>
          </w:tcPr>
          <w:p w14:paraId="1719F7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A4898B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2E183E2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4966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77DA2D5A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Humanos</w:t>
            </w:r>
          </w:p>
        </w:tc>
      </w:tr>
      <w:tr w:rsidR="00C353F5" w:rsidRPr="00C353F5" w14:paraId="02116A8A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101FE38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6482792B" w14:textId="77777777" w:rsidR="00C353F5" w:rsidRPr="00C353F5" w:rsidRDefault="00C353F5" w:rsidP="00C353F5">
            <w:pPr>
              <w:spacing w:before="8" w:line="230" w:lineRule="atLeast"/>
              <w:ind w:left="120" w:right="447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Mantenimiento de infraestructura y equipo.</w:t>
            </w:r>
          </w:p>
        </w:tc>
        <w:tc>
          <w:tcPr>
            <w:tcW w:w="1417" w:type="dxa"/>
            <w:shd w:val="clear" w:color="auto" w:fill="111AD3"/>
          </w:tcPr>
          <w:p w14:paraId="7C6F43C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3873AD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05E97AD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691B369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5409410D" w14:textId="77777777" w:rsidR="00C353F5" w:rsidRPr="00C353F5" w:rsidRDefault="00C353F5" w:rsidP="00C353F5">
            <w:pPr>
              <w:spacing w:before="127"/>
              <w:ind w:left="116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Recursos Materiales y Servicios, Mantenimiento y Equipos, Centro de C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mputo.</w:t>
            </w:r>
          </w:p>
        </w:tc>
      </w:tr>
      <w:tr w:rsidR="00C353F5" w:rsidRPr="00C353F5" w14:paraId="6D80A9E9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130E94D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7C731F84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Captación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ingresos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propios</w:t>
            </w:r>
            <w:proofErr w:type="spellEnd"/>
          </w:p>
        </w:tc>
        <w:tc>
          <w:tcPr>
            <w:tcW w:w="1417" w:type="dxa"/>
            <w:shd w:val="clear" w:color="auto" w:fill="111AD3"/>
          </w:tcPr>
          <w:p w14:paraId="678CF52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5A4B54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ACC1B4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434001A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098C7C13" w14:textId="77777777" w:rsidR="00C353F5" w:rsidRPr="00C353F5" w:rsidRDefault="00C353F5" w:rsidP="00C353F5">
            <w:pPr>
              <w:spacing w:before="142"/>
              <w:ind w:left="244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Financieros</w:t>
            </w:r>
            <w:proofErr w:type="spellEnd"/>
          </w:p>
        </w:tc>
      </w:tr>
      <w:tr w:rsidR="00C353F5" w:rsidRPr="00C353F5" w14:paraId="1285C108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C0334A5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2079874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Comunicación, participación y consulta de los trabajadores.</w:t>
            </w:r>
          </w:p>
        </w:tc>
        <w:tc>
          <w:tcPr>
            <w:tcW w:w="1417" w:type="dxa"/>
            <w:shd w:val="clear" w:color="auto" w:fill="111AD3"/>
          </w:tcPr>
          <w:p w14:paraId="18704D0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747791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7BFDD4C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3D9AE1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60F783BD" w14:textId="77777777" w:rsidR="00C353F5" w:rsidRPr="00C353F5" w:rsidRDefault="00C353F5" w:rsidP="00C353F5">
            <w:pPr>
              <w:spacing w:before="146"/>
              <w:ind w:left="134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Comunicación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y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Difusión</w:t>
            </w:r>
            <w:proofErr w:type="spellEnd"/>
          </w:p>
        </w:tc>
      </w:tr>
      <w:tr w:rsidR="00C353F5" w:rsidRPr="00C353F5" w14:paraId="0CAD6E7E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04AFB71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79CE5FB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Anteproyecto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inversión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692FB66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6675A70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4A95529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D8E5AA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9386C72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Planeación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Programación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pacing w:val="-4"/>
                <w:sz w:val="20"/>
                <w:lang w:eastAsia="en-US"/>
              </w:rPr>
              <w:t xml:space="preserve"> </w:t>
            </w:r>
            <w:r w:rsidRPr="00C353F5">
              <w:rPr>
                <w:rFonts w:ascii="Arial Narrow" w:eastAsia="Arial" w:hAnsi="Arial Narrow" w:cs="Arial"/>
                <w:noProof w:val="0"/>
                <w:spacing w:val="-13"/>
                <w:sz w:val="20"/>
                <w:lang w:eastAsia="en-US"/>
              </w:rPr>
              <w:t>y</w:t>
            </w:r>
          </w:p>
          <w:p w14:paraId="44A51899" w14:textId="77777777" w:rsidR="00C353F5" w:rsidRPr="00C353F5" w:rsidRDefault="00C353F5" w:rsidP="00C353F5">
            <w:pPr>
              <w:ind w:left="134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Presupuestación</w:t>
            </w:r>
            <w:proofErr w:type="spellEnd"/>
          </w:p>
        </w:tc>
      </w:tr>
      <w:tr w:rsidR="00C353F5" w:rsidRPr="00C353F5" w14:paraId="4C2EC8FE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4748122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348AD962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Adquisición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material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bibliográfico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4DC24AF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C2885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EF5950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62E71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3482404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719A6C04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Centro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Información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</w:tr>
      <w:tr w:rsidR="00C353F5" w:rsidRPr="00C353F5" w14:paraId="653D0ABD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9E195B6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E392E00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Préstamo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recursos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bibliográficos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12A6896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F1C7E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B8EA51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A60115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286E4A4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7BFE48D5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Centro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Información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</w:tr>
      <w:tr w:rsidR="00C353F5" w:rsidRPr="00C353F5" w14:paraId="0C048DEA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1D1DC22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AF6FEA3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No conformidad y acciones correctivas.</w:t>
            </w:r>
          </w:p>
        </w:tc>
        <w:tc>
          <w:tcPr>
            <w:tcW w:w="1417" w:type="dxa"/>
            <w:shd w:val="clear" w:color="auto" w:fill="111AD3"/>
          </w:tcPr>
          <w:p w14:paraId="1093777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045B490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D0C825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23F1B27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A58CEDC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Á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rea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de Calidad</w:t>
            </w:r>
          </w:p>
        </w:tc>
      </w:tr>
      <w:tr w:rsidR="00C353F5" w:rsidRPr="00C353F5" w14:paraId="0890961C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5C50222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1EF87B4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 xml:space="preserve"> Control de las salidas educativas no conformes. </w:t>
            </w:r>
          </w:p>
        </w:tc>
        <w:tc>
          <w:tcPr>
            <w:tcW w:w="1417" w:type="dxa"/>
            <w:shd w:val="clear" w:color="auto" w:fill="111AD3"/>
          </w:tcPr>
          <w:p w14:paraId="2D35C47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BE7B9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0984DC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DEDE50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3A7729EF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Coordinador(a) de Calidad (CC)</w:t>
            </w:r>
          </w:p>
        </w:tc>
      </w:tr>
      <w:tr w:rsidR="00C353F5" w:rsidRPr="00C353F5" w14:paraId="04C8113C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DDB734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56E36DF2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Creación, actualización y control de la información documentada.</w:t>
            </w:r>
          </w:p>
        </w:tc>
        <w:tc>
          <w:tcPr>
            <w:tcW w:w="1417" w:type="dxa"/>
            <w:shd w:val="clear" w:color="auto" w:fill="111AD3"/>
          </w:tcPr>
          <w:p w14:paraId="6DFDCB5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C6F583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1698476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6AF89D0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5EABEDA1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Controlador(a) de Informaci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 Documentada.</w:t>
            </w:r>
          </w:p>
        </w:tc>
      </w:tr>
      <w:tr w:rsidR="00C353F5" w:rsidRPr="00C353F5" w14:paraId="7A38A9E9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0A49D2D0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4D2928E3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Evaluación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docente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3F12769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5B53F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4B0386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770272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499C573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Desarrollo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mico</w:t>
            </w:r>
            <w:proofErr w:type="spellEnd"/>
          </w:p>
        </w:tc>
      </w:tr>
      <w:tr w:rsidR="00C353F5" w:rsidRPr="00C353F5" w14:paraId="1C56F77C" w14:textId="77777777" w:rsidTr="00D16015">
        <w:trPr>
          <w:trHeight w:val="508"/>
        </w:trPr>
        <w:tc>
          <w:tcPr>
            <w:tcW w:w="1843" w:type="dxa"/>
            <w:vMerge w:val="restart"/>
            <w:shd w:val="clear" w:color="auto" w:fill="17365D"/>
            <w:vAlign w:val="center"/>
          </w:tcPr>
          <w:p w14:paraId="6ADB4761" w14:textId="77777777" w:rsidR="00C353F5" w:rsidRPr="00C353F5" w:rsidRDefault="00C353F5" w:rsidP="00C353F5">
            <w:pPr>
              <w:jc w:val="center"/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OPERACIÓN</w:t>
            </w:r>
          </w:p>
        </w:tc>
        <w:tc>
          <w:tcPr>
            <w:tcW w:w="3828" w:type="dxa"/>
          </w:tcPr>
          <w:p w14:paraId="794E3844" w14:textId="77777777" w:rsidR="00C353F5" w:rsidRPr="00C353F5" w:rsidRDefault="00C353F5" w:rsidP="00C353F5">
            <w:pPr>
              <w:spacing w:before="132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Pre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inscripci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  <w:proofErr w:type="spellEnd"/>
          </w:p>
        </w:tc>
        <w:tc>
          <w:tcPr>
            <w:tcW w:w="1417" w:type="dxa"/>
            <w:shd w:val="clear" w:color="auto" w:fill="111AD3"/>
          </w:tcPr>
          <w:p w14:paraId="48D1756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929FA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203A75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371D4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7A6C005D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Desarrollo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mico</w:t>
            </w:r>
            <w:proofErr w:type="spellEnd"/>
          </w:p>
        </w:tc>
      </w:tr>
      <w:tr w:rsidR="00C353F5" w:rsidRPr="00C353F5" w14:paraId="7C839B3D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  <w:vAlign w:val="center"/>
          </w:tcPr>
          <w:p w14:paraId="4F6101B9" w14:textId="77777777" w:rsidR="00C353F5" w:rsidRPr="00C353F5" w:rsidRDefault="00C353F5" w:rsidP="00C353F5">
            <w:pPr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3828" w:type="dxa"/>
          </w:tcPr>
          <w:p w14:paraId="578C0074" w14:textId="77777777" w:rsidR="00C353F5" w:rsidRPr="00C353F5" w:rsidRDefault="00C353F5" w:rsidP="00C353F5">
            <w:pPr>
              <w:spacing w:before="132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Inscripci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  <w:proofErr w:type="spellEnd"/>
          </w:p>
        </w:tc>
        <w:tc>
          <w:tcPr>
            <w:tcW w:w="1417" w:type="dxa"/>
            <w:shd w:val="clear" w:color="auto" w:fill="111AD3"/>
          </w:tcPr>
          <w:p w14:paraId="30FA51B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1D785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B9EE83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405A4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1D53CA0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Servicios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Escolares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.</w:t>
            </w:r>
          </w:p>
        </w:tc>
      </w:tr>
      <w:tr w:rsidR="00C353F5" w:rsidRPr="00C353F5" w14:paraId="4DE4D99A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FE7808C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F3B71C5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Reinscripci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  <w:proofErr w:type="spellEnd"/>
          </w:p>
        </w:tc>
        <w:tc>
          <w:tcPr>
            <w:tcW w:w="1417" w:type="dxa"/>
            <w:shd w:val="clear" w:color="auto" w:fill="111AD3"/>
          </w:tcPr>
          <w:p w14:paraId="3688768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37B1F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FB449C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7EE50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09243A7F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n de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Estudios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Profesionales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.</w:t>
            </w:r>
          </w:p>
        </w:tc>
      </w:tr>
      <w:tr w:rsidR="00C353F5" w:rsidRPr="00C353F5" w14:paraId="65E096D2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F7CBD03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F6C14A6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Titulación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Integral.</w:t>
            </w:r>
          </w:p>
        </w:tc>
        <w:tc>
          <w:tcPr>
            <w:tcW w:w="1417" w:type="dxa"/>
            <w:shd w:val="clear" w:color="auto" w:fill="111AD3"/>
          </w:tcPr>
          <w:p w14:paraId="0061081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80F1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ECD6C6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3D3A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89C792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n de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Estudios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Profesionales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.</w:t>
            </w:r>
          </w:p>
        </w:tc>
      </w:tr>
      <w:tr w:rsidR="00C353F5" w:rsidRPr="00C353F5" w14:paraId="14F3DB43" w14:textId="77777777" w:rsidTr="00D16015">
        <w:trPr>
          <w:trHeight w:val="719"/>
        </w:trPr>
        <w:tc>
          <w:tcPr>
            <w:tcW w:w="1843" w:type="dxa"/>
            <w:vMerge/>
            <w:shd w:val="clear" w:color="auto" w:fill="17365D"/>
          </w:tcPr>
          <w:p w14:paraId="7406E55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798CF10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Tutorías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institucionales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4C4C62E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7B9D8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655FFF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49264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0D4E6E8D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Desarrollo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mico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</w:p>
        </w:tc>
      </w:tr>
      <w:tr w:rsidR="00C353F5" w:rsidRPr="00C353F5" w14:paraId="7F43C4A1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A2F4A1E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333B4441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Promoción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cultural y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deportiva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03B645E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A4BC6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4DBD30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3C25D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1E856A1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Actividades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Extraescolares</w:t>
            </w:r>
            <w:proofErr w:type="spellEnd"/>
          </w:p>
        </w:tc>
      </w:tr>
      <w:tr w:rsidR="00C353F5" w:rsidRPr="00C353F5" w14:paraId="4142D2BF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5DB58B3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AE6A52B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Realización de servicio social plan 2015-2016</w:t>
            </w:r>
          </w:p>
        </w:tc>
        <w:tc>
          <w:tcPr>
            <w:tcW w:w="1417" w:type="dxa"/>
            <w:shd w:val="clear" w:color="auto" w:fill="111AD3"/>
          </w:tcPr>
          <w:p w14:paraId="6D5B29C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D5F8CB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5A724D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83C774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72B9140B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Gesti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Tecnol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gica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y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Vinculaci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  <w:proofErr w:type="spellEnd"/>
          </w:p>
        </w:tc>
      </w:tr>
      <w:tr w:rsidR="00C353F5" w:rsidRPr="00C353F5" w14:paraId="540079A0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B9BC0D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61415DE1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Prácticas de laboratorio y talleres</w:t>
            </w:r>
          </w:p>
        </w:tc>
        <w:tc>
          <w:tcPr>
            <w:tcW w:w="1417" w:type="dxa"/>
            <w:shd w:val="clear" w:color="auto" w:fill="111AD3"/>
          </w:tcPr>
          <w:p w14:paraId="23BB6A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CC5C"/>
          </w:tcPr>
          <w:p w14:paraId="6801553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16301B3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91ECB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4F3233F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Á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reas Acad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micas, Mantenimiento y Equipos, Laboratorios y Talleres.</w:t>
            </w:r>
          </w:p>
        </w:tc>
      </w:tr>
      <w:tr w:rsidR="00C353F5" w:rsidRPr="00C353F5" w14:paraId="6E639FAE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146C25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029B88C9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Convalidación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estudios</w:t>
            </w:r>
            <w:proofErr w:type="spellEnd"/>
          </w:p>
        </w:tc>
        <w:tc>
          <w:tcPr>
            <w:tcW w:w="1417" w:type="dxa"/>
            <w:shd w:val="clear" w:color="auto" w:fill="111AD3"/>
          </w:tcPr>
          <w:p w14:paraId="23DB4B6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E98E9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10FCFE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A6DE3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2AA74736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n de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Estudios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Profesionales</w:t>
            </w:r>
            <w:proofErr w:type="spellEnd"/>
          </w:p>
        </w:tc>
      </w:tr>
      <w:tr w:rsidR="00C353F5" w:rsidRPr="00C353F5" w14:paraId="64AB12DB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EF1D7D5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EF20FE0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Equivalencia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estudios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4757C3D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00E32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18078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E6434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26B0B8B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n de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Estudios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Profesionales</w:t>
            </w:r>
            <w:proofErr w:type="spellEnd"/>
          </w:p>
        </w:tc>
      </w:tr>
      <w:tr w:rsidR="00C353F5" w:rsidRPr="00C353F5" w14:paraId="083AAEEE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11FF3540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06AA9BFD" w14:textId="77777777" w:rsidR="00C353F5" w:rsidRPr="00C353F5" w:rsidRDefault="00C353F5" w:rsidP="00C353F5">
            <w:pPr>
              <w:spacing w:before="93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Gestión</w:t>
            </w:r>
            <w:proofErr w:type="spellEnd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 xml:space="preserve"> del </w:t>
            </w:r>
            <w:proofErr w:type="spellStart"/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curso</w:t>
            </w:r>
            <w:proofErr w:type="spellEnd"/>
          </w:p>
        </w:tc>
        <w:tc>
          <w:tcPr>
            <w:tcW w:w="1417" w:type="dxa"/>
            <w:shd w:val="clear" w:color="auto" w:fill="111AD3"/>
          </w:tcPr>
          <w:p w14:paraId="5A2EF42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5A563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2A9423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5EC6A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8F69EE5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Departamentos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micos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.</w:t>
            </w:r>
          </w:p>
        </w:tc>
      </w:tr>
      <w:tr w:rsidR="00C353F5" w:rsidRPr="00C353F5" w14:paraId="61D0E3CA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4E559DFA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59A5E88" w14:textId="77777777" w:rsidR="00C353F5" w:rsidRPr="00C353F5" w:rsidRDefault="00C353F5" w:rsidP="00C353F5">
            <w:pPr>
              <w:spacing w:before="109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Residencias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profesionales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4E2951A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2E9A7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E8611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E12FA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2EE0F61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n de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Estudios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Profesionales</w:t>
            </w:r>
            <w:proofErr w:type="spellEnd"/>
          </w:p>
        </w:tc>
      </w:tr>
      <w:tr w:rsidR="00C353F5" w:rsidRPr="00C353F5" w14:paraId="58A4F5E5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5BF9746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21B1892" w14:textId="77777777" w:rsidR="00C353F5" w:rsidRPr="00C353F5" w:rsidRDefault="00C353F5" w:rsidP="00C353F5">
            <w:pPr>
              <w:spacing w:before="140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Visita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a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empresas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111AD3"/>
          </w:tcPr>
          <w:p w14:paraId="248A5F1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B6F158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F9AA96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B618C8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85965D9" w14:textId="77777777" w:rsidR="00C353F5" w:rsidRPr="00C353F5" w:rsidRDefault="00C353F5" w:rsidP="00C353F5">
            <w:pPr>
              <w:spacing w:before="142"/>
              <w:ind w:left="175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Gesti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Tecnol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gica</w:t>
            </w:r>
            <w:proofErr w:type="spellEnd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 y </w:t>
            </w:r>
            <w:proofErr w:type="spellStart"/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Vinculaci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  <w:proofErr w:type="spellEnd"/>
          </w:p>
        </w:tc>
      </w:tr>
    </w:tbl>
    <w:p w14:paraId="4B7A37A5" w14:textId="77777777" w:rsidR="00C353F5" w:rsidRPr="00C353F5" w:rsidRDefault="00C353F5" w:rsidP="00C353F5"/>
    <w:p w14:paraId="422C3F92" w14:textId="77777777" w:rsidR="005B530F" w:rsidRDefault="005B530F">
      <w:pPr>
        <w:rPr>
          <w:sz w:val="28"/>
          <w:szCs w:val="28"/>
        </w:rPr>
      </w:pPr>
    </w:p>
    <w:p w14:paraId="368F9988" w14:textId="77777777" w:rsidR="005B530F" w:rsidRDefault="005B530F"/>
    <w:p w14:paraId="3E01D9E9" w14:textId="77777777" w:rsidR="005B530F" w:rsidRDefault="005B530F"/>
    <w:p w14:paraId="6811A1E0" w14:textId="77777777" w:rsidR="005B530F" w:rsidRDefault="005B530F"/>
    <w:sectPr w:rsidR="005B530F" w:rsidSect="00C353F5">
      <w:pgSz w:w="15840" w:h="12240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7AA6" w14:textId="77777777" w:rsidR="00C63E6C" w:rsidRDefault="00C63E6C">
      <w:r>
        <w:separator/>
      </w:r>
    </w:p>
  </w:endnote>
  <w:endnote w:type="continuationSeparator" w:id="0">
    <w:p w14:paraId="562453AA" w14:textId="77777777" w:rsidR="00C63E6C" w:rsidRDefault="00C6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1A0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7B21" w14:textId="77777777" w:rsidR="005B530F" w:rsidRDefault="005B53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eastAsia="Arial" w:cs="Arial"/>
        <w:color w:val="000000"/>
      </w:rPr>
    </w:pPr>
  </w:p>
  <w:tbl>
    <w:tblPr>
      <w:tblStyle w:val="a0"/>
      <w:tblW w:w="9353" w:type="dxa"/>
      <w:jc w:val="center"/>
      <w:tblLayout w:type="fixed"/>
      <w:tblLook w:val="0400" w:firstRow="0" w:lastRow="0" w:firstColumn="0" w:lastColumn="0" w:noHBand="0" w:noVBand="1"/>
    </w:tblPr>
    <w:tblGrid>
      <w:gridCol w:w="2574"/>
      <w:gridCol w:w="1492"/>
      <w:gridCol w:w="2552"/>
      <w:gridCol w:w="1843"/>
      <w:gridCol w:w="892"/>
    </w:tblGrid>
    <w:tr w:rsidR="005B530F" w14:paraId="22170E00" w14:textId="7777777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A3A7522" w14:textId="5087A394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VER </w:t>
          </w:r>
          <w:r w:rsidR="005C0D55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2</w:t>
          </w: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 </w:t>
          </w:r>
        </w:p>
        <w:p w14:paraId="6FAC7283" w14:textId="77777777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                      </w:t>
          </w:r>
        </w:p>
      </w:tc>
      <w:tc>
        <w:tcPr>
          <w:tcW w:w="1492" w:type="dxa"/>
          <w:shd w:val="clear" w:color="auto" w:fill="auto"/>
          <w:vAlign w:val="center"/>
        </w:tcPr>
        <w:p w14:paraId="45B211A3" w14:textId="77777777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       ELABORÓ</w:t>
          </w:r>
        </w:p>
        <w:p w14:paraId="5B5B7267" w14:textId="235888C0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I.G.U.R. / </w:t>
          </w:r>
          <w:r w:rsidR="004B64F9" w:rsidRPr="004B64F9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5E40D19A" w14:textId="77777777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REVISÓ</w:t>
          </w:r>
        </w:p>
        <w:p w14:paraId="77B5E845" w14:textId="4EE21B79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O.I.G.S/ </w:t>
          </w:r>
          <w:r w:rsidR="004B64F9" w:rsidRPr="00C353F5">
            <w:rPr>
              <w:rFonts w:ascii="Arial Narrow" w:hAnsi="Arial Narrow" w:cs="Arial"/>
              <w:sz w:val="12"/>
              <w:szCs w:val="12"/>
              <w:lang w:val="es-MX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189C8B6A" w14:textId="77777777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AUTORIZÓ</w:t>
          </w:r>
        </w:p>
        <w:p w14:paraId="489D2E29" w14:textId="1EDBC9D7" w:rsidR="005B530F" w:rsidRPr="00AF405E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</w:pPr>
          <w:r w:rsidRPr="00AF405E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 xml:space="preserve">N.S.E.U./ </w:t>
          </w:r>
          <w:r w:rsidR="004B64F9" w:rsidRPr="004B64F9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0</w:t>
          </w:r>
          <w:r w:rsidR="004B64F9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8</w:t>
          </w:r>
          <w:r w:rsidR="004B64F9" w:rsidRPr="004B64F9">
            <w:rPr>
              <w:rFonts w:ascii="Arial Narrow" w:eastAsia="Arial Narrow" w:hAnsi="Arial Narrow" w:cs="Arial Narrow"/>
              <w:color w:val="000000"/>
              <w:sz w:val="12"/>
              <w:szCs w:val="12"/>
              <w:lang w:val="es-MX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5100ADC4" w14:textId="77777777" w:rsidR="005B530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AF405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AF405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</w:tbl>
  <w:p w14:paraId="6980C8A6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03E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1822" w14:textId="77777777" w:rsidR="00C63E6C" w:rsidRDefault="00C63E6C">
      <w:r>
        <w:separator/>
      </w:r>
    </w:p>
  </w:footnote>
  <w:footnote w:type="continuationSeparator" w:id="0">
    <w:p w14:paraId="3EF44E31" w14:textId="77777777" w:rsidR="00C63E6C" w:rsidRDefault="00C6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5B77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9E1" w14:textId="77777777" w:rsidR="005B530F" w:rsidRDefault="005B53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270"/>
      <w:gridCol w:w="3544"/>
      <w:gridCol w:w="2693"/>
      <w:gridCol w:w="1970"/>
    </w:tblGrid>
    <w:tr w:rsidR="005B530F" w14:paraId="104447E8" w14:textId="77777777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3659F06E" w14:textId="7777777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</w:rPr>
            <w:drawing>
              <wp:inline distT="0" distB="0" distL="0" distR="0" wp14:anchorId="4D00EC69" wp14:editId="377A4A1E">
                <wp:extent cx="1008000" cy="10080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36970D2" w14:textId="77777777" w:rsidR="005B530F" w:rsidRPr="00AF405E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Documento: Alcance del Sistema Integrado</w:t>
          </w:r>
        </w:p>
        <w:p w14:paraId="6F19FF5A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 xml:space="preserve">                      de Gestión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3662272" w14:textId="77777777" w:rsidR="005B530F" w:rsidRPr="00AF405E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Responsable: RD, y Alta dirección</w:t>
          </w:r>
        </w:p>
      </w:tc>
    </w:tr>
    <w:tr w:rsidR="005B530F" w14:paraId="465CCDDD" w14:textId="77777777">
      <w:trPr>
        <w:trHeight w:val="199"/>
        <w:jc w:val="center"/>
      </w:trPr>
      <w:tc>
        <w:tcPr>
          <w:tcW w:w="2270" w:type="dxa"/>
          <w:vMerge/>
          <w:shd w:val="clear" w:color="auto" w:fill="auto"/>
          <w:vAlign w:val="center"/>
        </w:tcPr>
        <w:p w14:paraId="2687569D" w14:textId="77777777" w:rsidR="005B530F" w:rsidRPr="00AF405E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  <w:lang w:val="es-MX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31129BE1" w14:textId="77777777" w:rsidR="005B530F" w:rsidRPr="00AF405E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  <w:lang w:val="es-MX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F2CE39" w14:textId="7777777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Código: SIG-IN-D-00-05</w:t>
          </w:r>
        </w:p>
      </w:tc>
      <w:tc>
        <w:tcPr>
          <w:tcW w:w="1970" w:type="dxa"/>
          <w:shd w:val="clear" w:color="auto" w:fill="auto"/>
          <w:vAlign w:val="center"/>
        </w:tcPr>
        <w:p w14:paraId="4ADE1F1F" w14:textId="7777777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Página: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PAGE</w:instrText>
          </w:r>
          <w:r>
            <w:rPr>
              <w:b/>
              <w:sz w:val="20"/>
              <w:szCs w:val="20"/>
            </w:rPr>
            <w:fldChar w:fldCharType="separate"/>
          </w:r>
          <w:r w:rsidR="00AF405E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de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NUMPAGES</w:instrText>
          </w:r>
          <w:r>
            <w:rPr>
              <w:b/>
              <w:sz w:val="20"/>
              <w:szCs w:val="20"/>
            </w:rPr>
            <w:fldChar w:fldCharType="separate"/>
          </w:r>
          <w:r w:rsidR="00AF405E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  <w:tr w:rsidR="005B530F" w14:paraId="35111099" w14:textId="77777777">
      <w:trPr>
        <w:trHeight w:val="199"/>
        <w:jc w:val="center"/>
      </w:trPr>
      <w:tc>
        <w:tcPr>
          <w:tcW w:w="2270" w:type="dxa"/>
          <w:vMerge/>
          <w:shd w:val="clear" w:color="auto" w:fill="auto"/>
          <w:vAlign w:val="center"/>
        </w:tcPr>
        <w:p w14:paraId="71527CCF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048B1620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6DC8617" w14:textId="7777777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Revisión: 4</w:t>
          </w:r>
        </w:p>
      </w:tc>
    </w:tr>
    <w:tr w:rsidR="005B530F" w14:paraId="5DBA4424" w14:textId="77777777">
      <w:trPr>
        <w:trHeight w:val="70"/>
        <w:jc w:val="center"/>
      </w:trPr>
      <w:tc>
        <w:tcPr>
          <w:tcW w:w="2270" w:type="dxa"/>
          <w:vMerge/>
          <w:shd w:val="clear" w:color="auto" w:fill="auto"/>
          <w:vAlign w:val="center"/>
        </w:tcPr>
        <w:p w14:paraId="6AB69B2A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7A6B9570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50DB35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 xml:space="preserve">Referencia: </w:t>
          </w:r>
        </w:p>
        <w:p w14:paraId="14F63AED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21001:2018:  4.3</w:t>
          </w:r>
        </w:p>
        <w:p w14:paraId="453F5231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14001:2015:4.3</w:t>
          </w:r>
        </w:p>
        <w:p w14:paraId="2940EF34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50001:2018:4.3</w:t>
          </w:r>
        </w:p>
        <w:p w14:paraId="3B2569B8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45001:2018:4.3</w:t>
          </w:r>
        </w:p>
      </w:tc>
      <w:tc>
        <w:tcPr>
          <w:tcW w:w="1970" w:type="dxa"/>
          <w:shd w:val="clear" w:color="auto" w:fill="auto"/>
          <w:vAlign w:val="center"/>
        </w:tcPr>
        <w:p w14:paraId="25558ACB" w14:textId="5C0D1D0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Emisión: </w:t>
          </w:r>
          <w:r w:rsidR="004B64F9">
            <w:rPr>
              <w:sz w:val="20"/>
              <w:szCs w:val="20"/>
            </w:rPr>
            <w:t>Junio</w:t>
          </w:r>
          <w:r>
            <w:rPr>
              <w:sz w:val="20"/>
              <w:szCs w:val="20"/>
            </w:rPr>
            <w:t xml:space="preserve"> 2022</w:t>
          </w:r>
        </w:p>
      </w:tc>
    </w:tr>
  </w:tbl>
  <w:p w14:paraId="4DD51456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42DE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0F"/>
    <w:rsid w:val="0028296F"/>
    <w:rsid w:val="00332333"/>
    <w:rsid w:val="00366706"/>
    <w:rsid w:val="004B64F9"/>
    <w:rsid w:val="005B530F"/>
    <w:rsid w:val="005C0D55"/>
    <w:rsid w:val="007A3046"/>
    <w:rsid w:val="007C1F43"/>
    <w:rsid w:val="00A77362"/>
    <w:rsid w:val="00AF405E"/>
    <w:rsid w:val="00B3218B"/>
    <w:rsid w:val="00C353F5"/>
    <w:rsid w:val="00C63E6C"/>
    <w:rsid w:val="00D1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88938"/>
  <w15:docId w15:val="{D426FABA-8898-4985-A155-DEBDE68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82"/>
    <w:rPr>
      <w:rFonts w:eastAsia="Times New Roman" w:cs="Times New Roman"/>
      <w:noProof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F30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0AC"/>
    <w:rPr>
      <w:rFonts w:ascii="Arial" w:eastAsia="Times New Roman" w:hAnsi="Arial" w:cs="Times New Roman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F30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0AC"/>
    <w:rPr>
      <w:rFonts w:ascii="Arial" w:eastAsia="Times New Roman" w:hAnsi="Arial" w:cs="Times New Roman"/>
      <w:noProof/>
      <w:sz w:val="24"/>
      <w:szCs w:val="24"/>
      <w:lang w:eastAsia="es-ES"/>
    </w:rPr>
  </w:style>
  <w:style w:type="table" w:customStyle="1" w:styleId="TableNormal0">
    <w:name w:val="Table Normal"/>
    <w:uiPriority w:val="2"/>
    <w:semiHidden/>
    <w:unhideWhenUsed/>
    <w:qFormat/>
    <w:rsid w:val="0051121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53F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7EPhTU62O1LO2Y8qmMbd6chHgg==">AMUW2mVIPnFIvM7zx5Ycx6Fvu5Eg/hCBGlgylVg1fJzmIwHXYeycSOIGpnOLJG0ZU3xaTxE10iCHmPvtEGKTWqI8eKw9SMjuW8y98MVpP+JyZ9Cx+I8GyuY=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 urias</dc:creator>
  <cp:lastModifiedBy>Representante Dirección</cp:lastModifiedBy>
  <cp:revision>8</cp:revision>
  <dcterms:created xsi:type="dcterms:W3CDTF">2022-02-01T13:32:00Z</dcterms:created>
  <dcterms:modified xsi:type="dcterms:W3CDTF">2022-09-21T15:39:00Z</dcterms:modified>
</cp:coreProperties>
</file>